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240" w:line="360" w:lineRule="auto"/>
        <w:ind w:left="720" w:firstLine="720"/>
        <w:rPr>
          <w:rFonts w:ascii="EB Garamond" w:cs="EB Garamond" w:eastAsia="EB Garamond" w:hAnsi="EB Garamond"/>
          <w:b w:val="1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24"/>
          <w:szCs w:val="24"/>
          <w:rtl w:val="0"/>
        </w:rPr>
        <w:t xml:space="preserve">To-Do List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after="0" w:before="24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Read the Competition Rules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Present the Idea</w:t>
      </w:r>
    </w:p>
    <w:p w:rsidR="00000000" w:rsidDel="00000000" w:rsidP="00000000" w:rsidRDefault="00000000" w:rsidRPr="00000000" w14:paraId="00000004">
      <w:pPr>
        <w:numPr>
          <w:ilvl w:val="1"/>
          <w:numId w:val="2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Present the idea of organising a Competition to your Board.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Decide on the Debate Topic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Draft the Rules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Draft the Competition Rules based on the Group’s needs.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Set Event Dates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Create a Training Course (optional)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Identify and Contact Professionals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Select professionals for the Scientific Committee.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Identify professionals for the Judging Panel.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Appoint a professional as the Moderator.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Select the Prizes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Find Academic, Economic, and Institutional Partners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Develop a Publicity Strategy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Coordinate with the Marketing Area and the Secretariat.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Book the Venue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Reserve the location for the training course and the Competition.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Prepare Launch Emails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Create the Registration Form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Include the Privacy Policy.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Launch the Project and Open Registration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Answer Participant Questions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Assign the Positions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Allocate the positions to the teams and inform them.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Organise Teams and Notify Them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Prepare the Competition Venue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Ensure the venue is suitable for the event, check microphones, and set up stations for the Judging Panel and participants.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Ensure a Timer and Designated Timekeeper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Welcome the Judging Panel and Moderator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Welcome the Participants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Review the Timeline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Remind Professionals and participants of the event schedule.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Begin the Competition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Post-Debate</w:t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After each debate, escort teams out to prevent exchanges with teams about to compete.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Ensure Voting Completion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Confirm that all Judging Panel members have cast their votes.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Announce Advancing Teams</w:t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At the end of each round, inform teams of those advancing to the next stage.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Conclude the Event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Announce the winners and award prizes.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before="0" w:line="360" w:lineRule="auto"/>
        <w:ind w:left="72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Gather Feedback</w:t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spacing w:after="0" w:before="0" w:line="360" w:lineRule="auto"/>
        <w:ind w:left="1440" w:hanging="360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Fonts w:ascii="EB Garamond" w:cs="EB Garamond" w:eastAsia="EB Garamond" w:hAnsi="EB Garamond"/>
          <w:sz w:val="24"/>
          <w:szCs w:val="24"/>
          <w:rtl w:val="0"/>
        </w:rPr>
        <w:t xml:space="preserve">Send an event evaluation form to gather feedback for a potential future edition of the Competition.</w:t>
      </w:r>
    </w:p>
    <w:p w:rsidR="00000000" w:rsidDel="00000000" w:rsidP="00000000" w:rsidRDefault="00000000" w:rsidRPr="00000000" w14:paraId="0000002E">
      <w:pPr>
        <w:spacing w:after="0" w:line="360" w:lineRule="auto"/>
        <w:rPr>
          <w:rFonts w:ascii="EB Garamond" w:cs="EB Garamond" w:eastAsia="EB Garamond" w:hAnsi="EB Garamo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B Garamon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line="240" w:lineRule="auto"/>
      <w:ind w:left="5040" w:firstLine="720"/>
      <w:rPr>
        <w:rFonts w:ascii="Lato" w:cs="Lato" w:eastAsia="Lato" w:hAnsi="Lato"/>
        <w:b w:val="1"/>
        <w:color w:val="0a3087"/>
        <w:sz w:val="24"/>
        <w:szCs w:val="24"/>
      </w:rPr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 xml:space="preserve">   </w:t>
      <w:tab/>
      <w:tab/>
      <w:tab/>
      <w:tab/>
      <w:tab/>
      <w:tab/>
      <w:tab/>
      <w:tab/>
      <w:tab/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2241713</wp:posOffset>
          </wp:positionH>
          <wp:positionV relativeFrom="paragraph">
            <wp:posOffset>266700</wp:posOffset>
          </wp:positionV>
          <wp:extent cx="1247775" cy="534761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1971" l="0" r="0" t="0"/>
                  <a:stretch>
                    <a:fillRect/>
                  </a:stretch>
                </pic:blipFill>
                <pic:spPr>
                  <a:xfrm>
                    <a:off x="0" y="0"/>
                    <a:ext cx="1247775" cy="53476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2">
    <w:pPr>
      <w:spacing w:line="240" w:lineRule="auto"/>
      <w:ind w:left="5040" w:firstLine="0"/>
      <w:rPr/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ab/>
      <w:tab/>
      <w:t xml:space="preserve">                </w:t>
      <w:tab/>
      <w:tab/>
    </w: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tabs>
        <w:tab w:val="center" w:leader="none" w:pos="4680"/>
        <w:tab w:val="right" w:leader="none" w:pos="9360"/>
      </w:tabs>
      <w:spacing w:line="240" w:lineRule="auto"/>
      <w:jc w:val="both"/>
      <w:rPr>
        <w:rFonts w:ascii="EB Garamond" w:cs="EB Garamond" w:eastAsia="EB Garamond" w:hAnsi="EB Garamond"/>
        <w:sz w:val="24"/>
        <w:szCs w:val="24"/>
      </w:rPr>
    </w:pPr>
    <w:r w:rsidDel="00000000" w:rsidR="00000000" w:rsidRPr="00000000">
      <w:rPr>
        <w:rFonts w:ascii="Lato" w:cs="Lato" w:eastAsia="Lato" w:hAnsi="Lato"/>
        <w:color w:val="0a3087"/>
        <w:sz w:val="20"/>
        <w:szCs w:val="20"/>
        <w:rtl w:val="0"/>
      </w:rPr>
      <w:t xml:space="preserve">ELSA Legal Debate - Checklist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238125</wp:posOffset>
              </wp:positionV>
              <wp:extent cx="5731200" cy="221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188350" y="2474125"/>
                        <a:ext cx="7393200" cy="11400"/>
                      </a:xfrm>
                      <a:prstGeom prst="rect">
                        <a:avLst/>
                      </a:prstGeom>
                      <a:solidFill>
                        <a:srgbClr val="FF7400"/>
                      </a:solidFill>
                      <a:ln cap="flat" cmpd="sng" w="9525">
                        <a:solidFill>
                          <a:srgbClr val="FF74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238125</wp:posOffset>
              </wp:positionV>
              <wp:extent cx="5731200" cy="221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200" cy="22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84000" y="3780000"/>
                        <a:ext cx="5724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F9471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352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84000" y="3780000"/>
                        <a:ext cx="5724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F9471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4" distT="4294967294" distL="114300" distR="114300" hidden="0" layoutInCell="1" locked="0" relativeHeight="0" simplePos="0">
              <wp:simplePos x="0" y="0"/>
              <wp:positionH relativeFrom="column">
                <wp:posOffset>111976</wp:posOffset>
              </wp:positionH>
              <wp:positionV relativeFrom="paragraph">
                <wp:posOffset>126998</wp:posOffset>
              </wp:positionV>
              <wp:extent cx="5733525" cy="222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352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EBGaramond-regular.ttf"/><Relationship Id="rId6" Type="http://schemas.openxmlformats.org/officeDocument/2006/relationships/font" Target="fonts/EBGaramond-bold.ttf"/><Relationship Id="rId7" Type="http://schemas.openxmlformats.org/officeDocument/2006/relationships/font" Target="fonts/EBGaramond-italic.ttf"/><Relationship Id="rId8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